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2D" w:rsidRPr="008439B2" w:rsidRDefault="00C43E29">
      <w:pPr>
        <w:rPr>
          <w:rFonts w:cstheme="minorHAnsi"/>
          <w:b/>
          <w:sz w:val="24"/>
          <w:szCs w:val="24"/>
        </w:rPr>
      </w:pPr>
      <w:bookmarkStart w:id="0" w:name="_GoBack"/>
      <w:r w:rsidRPr="008439B2">
        <w:rPr>
          <w:rFonts w:cstheme="minorHAnsi"/>
          <w:b/>
          <w:sz w:val="24"/>
          <w:szCs w:val="24"/>
        </w:rPr>
        <w:t>Clinical Informatics Fellowship – Practical Curriculum</w:t>
      </w:r>
      <w:r w:rsidR="008868D6" w:rsidRPr="008439B2">
        <w:rPr>
          <w:rFonts w:cstheme="minorHAnsi"/>
          <w:b/>
          <w:sz w:val="24"/>
          <w:szCs w:val="24"/>
        </w:rPr>
        <w:t xml:space="preserve"> Objectives</w:t>
      </w:r>
    </w:p>
    <w:tbl>
      <w:tblPr>
        <w:tblStyle w:val="TableGrid"/>
        <w:tblW w:w="9378" w:type="dxa"/>
        <w:tblLayout w:type="fixed"/>
        <w:tblLook w:val="04A0"/>
      </w:tblPr>
      <w:tblGrid>
        <w:gridCol w:w="3348"/>
        <w:gridCol w:w="1440"/>
        <w:gridCol w:w="4590"/>
      </w:tblGrid>
      <w:tr w:rsidR="000E6886" w:rsidRPr="008439B2" w:rsidTr="000E6886">
        <w:tc>
          <w:tcPr>
            <w:tcW w:w="3348" w:type="dxa"/>
            <w:shd w:val="clear" w:color="auto" w:fill="D9D9D9" w:themeFill="background1" w:themeFillShade="D9"/>
          </w:tcPr>
          <w:bookmarkEnd w:id="0"/>
          <w:p w:rsidR="000E6886" w:rsidRPr="008439B2" w:rsidRDefault="000E6886">
            <w:pPr>
              <w:rPr>
                <w:rFonts w:cstheme="minorHAnsi"/>
                <w:b/>
                <w:sz w:val="24"/>
                <w:szCs w:val="24"/>
              </w:rPr>
            </w:pPr>
            <w:r w:rsidRPr="008439B2">
              <w:rPr>
                <w:rFonts w:cstheme="minorHAnsi"/>
                <w:b/>
                <w:sz w:val="24"/>
                <w:szCs w:val="24"/>
              </w:rPr>
              <w:t>Topic</w:t>
            </w:r>
          </w:p>
        </w:tc>
        <w:tc>
          <w:tcPr>
            <w:tcW w:w="1440" w:type="dxa"/>
            <w:shd w:val="clear" w:color="auto" w:fill="D9D9D9" w:themeFill="background1" w:themeFillShade="D9"/>
          </w:tcPr>
          <w:p w:rsidR="000E6886" w:rsidRPr="008439B2" w:rsidRDefault="000E6886">
            <w:pPr>
              <w:rPr>
                <w:rFonts w:cstheme="minorHAnsi"/>
                <w:b/>
                <w:sz w:val="24"/>
                <w:szCs w:val="24"/>
              </w:rPr>
            </w:pPr>
            <w:r w:rsidRPr="008439B2">
              <w:rPr>
                <w:rFonts w:cstheme="minorHAnsi"/>
                <w:b/>
                <w:sz w:val="24"/>
                <w:szCs w:val="24"/>
              </w:rPr>
              <w:t>Location</w:t>
            </w:r>
          </w:p>
        </w:tc>
        <w:tc>
          <w:tcPr>
            <w:tcW w:w="4590" w:type="dxa"/>
            <w:shd w:val="clear" w:color="auto" w:fill="D9D9D9" w:themeFill="background1" w:themeFillShade="D9"/>
          </w:tcPr>
          <w:p w:rsidR="000E6886" w:rsidRPr="008439B2" w:rsidRDefault="000E6886">
            <w:pPr>
              <w:rPr>
                <w:rFonts w:cstheme="minorHAnsi"/>
                <w:b/>
                <w:sz w:val="24"/>
                <w:szCs w:val="24"/>
              </w:rPr>
            </w:pPr>
            <w:r w:rsidRPr="008439B2">
              <w:rPr>
                <w:rFonts w:cstheme="minorHAnsi"/>
                <w:b/>
                <w:sz w:val="24"/>
                <w:szCs w:val="24"/>
              </w:rPr>
              <w:t>Objectives</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CoN Process – Army Only</w:t>
            </w:r>
          </w:p>
        </w:tc>
        <w:tc>
          <w:tcPr>
            <w:tcW w:w="1440" w:type="dxa"/>
          </w:tcPr>
          <w:p w:rsidR="000E6886" w:rsidRPr="008439B2" w:rsidRDefault="000E6886">
            <w:pPr>
              <w:rPr>
                <w:rFonts w:cstheme="minorHAnsi"/>
                <w:sz w:val="24"/>
                <w:szCs w:val="24"/>
              </w:rPr>
            </w:pPr>
            <w:r w:rsidRPr="008439B2">
              <w:rPr>
                <w:rFonts w:cstheme="minorHAnsi"/>
                <w:sz w:val="24"/>
                <w:szCs w:val="24"/>
              </w:rPr>
              <w:t>MAMC</w:t>
            </w:r>
          </w:p>
        </w:tc>
        <w:tc>
          <w:tcPr>
            <w:tcW w:w="4590" w:type="dxa"/>
          </w:tcPr>
          <w:p w:rsidR="000E6886" w:rsidRPr="008439B2" w:rsidRDefault="000E6886">
            <w:pPr>
              <w:rPr>
                <w:rFonts w:cstheme="minorHAnsi"/>
                <w:sz w:val="24"/>
                <w:szCs w:val="24"/>
              </w:rPr>
            </w:pPr>
            <w:r w:rsidRPr="008439B2">
              <w:rPr>
                <w:rFonts w:cstheme="minorHAnsi"/>
                <w:sz w:val="24"/>
                <w:szCs w:val="24"/>
              </w:rPr>
              <w:t xml:space="preserve">Learn the steps and the proper forms to use in applying for a CoN in the Army system: CoN Checklist, PIA, Waiver, </w:t>
            </w:r>
            <w:proofErr w:type="gramStart"/>
            <w:r w:rsidRPr="008439B2">
              <w:rPr>
                <w:rFonts w:cstheme="minorHAnsi"/>
                <w:sz w:val="24"/>
                <w:szCs w:val="24"/>
              </w:rPr>
              <w:t>CHESS</w:t>
            </w:r>
            <w:proofErr w:type="gramEnd"/>
            <w:r w:rsidRPr="008439B2">
              <w:rPr>
                <w:rFonts w:cstheme="minorHAnsi"/>
                <w:sz w:val="24"/>
                <w:szCs w:val="24"/>
              </w:rPr>
              <w:t xml:space="preserve"> Waiver. Include when to use them and why. Provide soft copies of completed CoN documents as Go-By’s.</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DIACAP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MAMC/NHB</w:t>
            </w:r>
          </w:p>
        </w:tc>
        <w:tc>
          <w:tcPr>
            <w:tcW w:w="4590" w:type="dxa"/>
          </w:tcPr>
          <w:p w:rsidR="000E6886" w:rsidRPr="008439B2" w:rsidRDefault="000E6886" w:rsidP="005E0A45">
            <w:pPr>
              <w:rPr>
                <w:rFonts w:cstheme="minorHAnsi"/>
                <w:sz w:val="24"/>
                <w:szCs w:val="24"/>
              </w:rPr>
            </w:pPr>
            <w:r w:rsidRPr="008439B2">
              <w:rPr>
                <w:rFonts w:cstheme="minorHAnsi"/>
                <w:sz w:val="24"/>
                <w:szCs w:val="24"/>
              </w:rPr>
              <w:t>Learn the proper steps and proper forms to use when applying for a DIACAP, as well as POC’s, what to tell vendors and total cost estimate. As much as possible, learn when a capability requires DIACAP vice CoN.</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IA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MAMC/NHB</w:t>
            </w:r>
          </w:p>
        </w:tc>
        <w:tc>
          <w:tcPr>
            <w:tcW w:w="4590" w:type="dxa"/>
          </w:tcPr>
          <w:p w:rsidR="000E6886" w:rsidRPr="008439B2" w:rsidRDefault="000E6886" w:rsidP="005E0A45">
            <w:pPr>
              <w:rPr>
                <w:rFonts w:cstheme="minorHAnsi"/>
                <w:sz w:val="24"/>
                <w:szCs w:val="24"/>
              </w:rPr>
            </w:pPr>
            <w:r w:rsidRPr="008439B2">
              <w:rPr>
                <w:rFonts w:cstheme="minorHAnsi"/>
                <w:sz w:val="24"/>
                <w:szCs w:val="24"/>
              </w:rPr>
              <w:t>General overview of IA and introduction to concepts of network security, software security, EUD security, hacking, DDOS, malware, etc.</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SAIC On-Site Responsibilities</w:t>
            </w:r>
          </w:p>
        </w:tc>
        <w:tc>
          <w:tcPr>
            <w:tcW w:w="1440" w:type="dxa"/>
          </w:tcPr>
          <w:p w:rsidR="000E6886" w:rsidRPr="008439B2" w:rsidRDefault="000E6886">
            <w:pPr>
              <w:rPr>
                <w:rFonts w:cstheme="minorHAnsi"/>
                <w:sz w:val="24"/>
                <w:szCs w:val="24"/>
              </w:rPr>
            </w:pPr>
            <w:r w:rsidRPr="008439B2">
              <w:rPr>
                <w:rFonts w:cstheme="minorHAnsi"/>
                <w:sz w:val="24"/>
                <w:szCs w:val="24"/>
              </w:rPr>
              <w:t>MAMC</w:t>
            </w:r>
          </w:p>
        </w:tc>
        <w:tc>
          <w:tcPr>
            <w:tcW w:w="4590" w:type="dxa"/>
          </w:tcPr>
          <w:p w:rsidR="000E6886" w:rsidRPr="008439B2" w:rsidRDefault="000E6886">
            <w:pPr>
              <w:rPr>
                <w:rFonts w:cstheme="minorHAnsi"/>
                <w:sz w:val="24"/>
                <w:szCs w:val="24"/>
              </w:rPr>
            </w:pPr>
            <w:r w:rsidRPr="008439B2">
              <w:rPr>
                <w:rFonts w:cstheme="minorHAnsi"/>
                <w:sz w:val="24"/>
                <w:szCs w:val="24"/>
              </w:rPr>
              <w:t>Brief overview of SAIC on-site responsibilities and assistance. Also a brief discussion of Tier 1-3 support functions.</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IMD - Overview</w:t>
            </w:r>
          </w:p>
        </w:tc>
        <w:tc>
          <w:tcPr>
            <w:tcW w:w="1440" w:type="dxa"/>
          </w:tcPr>
          <w:p w:rsidR="000E6886" w:rsidRPr="008439B2" w:rsidRDefault="000E6886">
            <w:pPr>
              <w:rPr>
                <w:rFonts w:cstheme="minorHAnsi"/>
                <w:sz w:val="24"/>
                <w:szCs w:val="24"/>
              </w:rPr>
            </w:pPr>
            <w:r w:rsidRPr="008439B2">
              <w:rPr>
                <w:rFonts w:cstheme="minorHAnsi"/>
                <w:sz w:val="24"/>
                <w:szCs w:val="24"/>
              </w:rPr>
              <w:t>MAMC</w:t>
            </w:r>
          </w:p>
        </w:tc>
        <w:tc>
          <w:tcPr>
            <w:tcW w:w="4590" w:type="dxa"/>
          </w:tcPr>
          <w:p w:rsidR="000E6886" w:rsidRPr="008439B2" w:rsidRDefault="000E6886">
            <w:pPr>
              <w:rPr>
                <w:rFonts w:cstheme="minorHAnsi"/>
                <w:sz w:val="24"/>
                <w:szCs w:val="24"/>
              </w:rPr>
            </w:pPr>
            <w:r w:rsidRPr="008439B2">
              <w:rPr>
                <w:rFonts w:cstheme="minorHAnsi"/>
                <w:sz w:val="24"/>
                <w:szCs w:val="24"/>
              </w:rPr>
              <w:t>Brief overview of the functions provided by and functions of an IMD. Focus on high level topics like network, servers, PBX, etc.</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Deployment Ops</w:t>
            </w:r>
          </w:p>
        </w:tc>
        <w:tc>
          <w:tcPr>
            <w:tcW w:w="1440" w:type="dxa"/>
          </w:tcPr>
          <w:p w:rsidR="000E6886" w:rsidRPr="008439B2" w:rsidRDefault="000E6886">
            <w:pPr>
              <w:rPr>
                <w:rFonts w:cstheme="minorHAnsi"/>
                <w:sz w:val="24"/>
                <w:szCs w:val="24"/>
              </w:rPr>
            </w:pPr>
            <w:r w:rsidRPr="008439B2">
              <w:rPr>
                <w:rFonts w:cstheme="minorHAnsi"/>
                <w:sz w:val="24"/>
                <w:szCs w:val="24"/>
              </w:rPr>
              <w:t>MAMC/NHB</w:t>
            </w:r>
          </w:p>
        </w:tc>
        <w:tc>
          <w:tcPr>
            <w:tcW w:w="4590" w:type="dxa"/>
          </w:tcPr>
          <w:p w:rsidR="000E6886" w:rsidRPr="008439B2" w:rsidRDefault="000E6886">
            <w:pPr>
              <w:rPr>
                <w:rFonts w:cstheme="minorHAnsi"/>
                <w:sz w:val="24"/>
                <w:szCs w:val="24"/>
              </w:rPr>
            </w:pPr>
            <w:r w:rsidRPr="008439B2">
              <w:rPr>
                <w:rFonts w:cstheme="minorHAnsi"/>
                <w:sz w:val="24"/>
                <w:szCs w:val="24"/>
              </w:rPr>
              <w:t>Review and learn about the process for deploying EUD’s, to include the requirements for creating and deploying an image (with or without virtualization), what a “gold disk” is, nuances of client software and driver loads, standardized images, troubleshooting</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End User Support – Overview</w:t>
            </w:r>
          </w:p>
        </w:tc>
        <w:tc>
          <w:tcPr>
            <w:tcW w:w="1440" w:type="dxa"/>
          </w:tcPr>
          <w:p w:rsidR="000E6886" w:rsidRPr="008439B2" w:rsidRDefault="000E6886">
            <w:pPr>
              <w:rPr>
                <w:rFonts w:cstheme="minorHAnsi"/>
                <w:sz w:val="24"/>
                <w:szCs w:val="24"/>
              </w:rPr>
            </w:pPr>
            <w:r w:rsidRPr="008439B2">
              <w:rPr>
                <w:rFonts w:cstheme="minorHAnsi"/>
                <w:sz w:val="24"/>
                <w:szCs w:val="24"/>
              </w:rPr>
              <w:t>MAMC/NHB/McChord</w:t>
            </w:r>
          </w:p>
        </w:tc>
        <w:tc>
          <w:tcPr>
            <w:tcW w:w="4590" w:type="dxa"/>
          </w:tcPr>
          <w:p w:rsidR="000E6886" w:rsidRPr="008439B2" w:rsidRDefault="000E6886">
            <w:pPr>
              <w:rPr>
                <w:rFonts w:cstheme="minorHAnsi"/>
                <w:sz w:val="24"/>
                <w:szCs w:val="24"/>
              </w:rPr>
            </w:pPr>
            <w:r w:rsidRPr="008439B2">
              <w:rPr>
                <w:rFonts w:cstheme="minorHAnsi"/>
                <w:sz w:val="24"/>
                <w:szCs w:val="24"/>
              </w:rPr>
              <w:t>Learn about the requirements and execution of end user support to ensure deployment of network, virtualization, clients, images, troubleshooting occur at the clinic/department level</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Hardware - Clinical</w:t>
            </w:r>
          </w:p>
        </w:tc>
        <w:tc>
          <w:tcPr>
            <w:tcW w:w="1440" w:type="dxa"/>
          </w:tcPr>
          <w:p w:rsidR="000E6886" w:rsidRPr="008439B2" w:rsidRDefault="000E6886">
            <w:pPr>
              <w:rPr>
                <w:rFonts w:cstheme="minorHAnsi"/>
                <w:sz w:val="24"/>
                <w:szCs w:val="24"/>
              </w:rPr>
            </w:pPr>
            <w:r w:rsidRPr="008439B2">
              <w:rPr>
                <w:rFonts w:cstheme="minorHAnsi"/>
                <w:sz w:val="24"/>
                <w:szCs w:val="24"/>
              </w:rPr>
              <w:t>MAMC/NHB</w:t>
            </w:r>
          </w:p>
        </w:tc>
        <w:tc>
          <w:tcPr>
            <w:tcW w:w="4590" w:type="dxa"/>
          </w:tcPr>
          <w:p w:rsidR="000E6886" w:rsidRPr="008439B2" w:rsidRDefault="000E6886">
            <w:pPr>
              <w:rPr>
                <w:rFonts w:cstheme="minorHAnsi"/>
                <w:sz w:val="24"/>
                <w:szCs w:val="24"/>
              </w:rPr>
            </w:pPr>
            <w:r w:rsidRPr="008439B2">
              <w:rPr>
                <w:rFonts w:cstheme="minorHAnsi"/>
                <w:sz w:val="24"/>
                <w:szCs w:val="24"/>
              </w:rPr>
              <w:t>Work with IMD, CI and Biomedical Repair to gain an understanding of the requirements for implementation, sustainment, maintenance and troubleshooting clinical hardware. This would include EKG machines, X-ray machines, bedside and portable monitors, and any other device for clinical care that can or does connect to the network or can transmit information electronically</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lastRenderedPageBreak/>
              <w:t>Hardware - General</w:t>
            </w:r>
          </w:p>
        </w:tc>
        <w:tc>
          <w:tcPr>
            <w:tcW w:w="1440" w:type="dxa"/>
          </w:tcPr>
          <w:p w:rsidR="000E6886" w:rsidRPr="008439B2" w:rsidRDefault="000E6886">
            <w:pPr>
              <w:rPr>
                <w:rFonts w:cstheme="minorHAnsi"/>
                <w:sz w:val="24"/>
                <w:szCs w:val="24"/>
              </w:rPr>
            </w:pPr>
            <w:r w:rsidRPr="008439B2">
              <w:rPr>
                <w:rFonts w:cstheme="minorHAnsi"/>
                <w:sz w:val="24"/>
                <w:szCs w:val="24"/>
              </w:rPr>
              <w:t>MAMC</w:t>
            </w:r>
          </w:p>
        </w:tc>
        <w:tc>
          <w:tcPr>
            <w:tcW w:w="4590" w:type="dxa"/>
          </w:tcPr>
          <w:p w:rsidR="000E6886" w:rsidRPr="008439B2" w:rsidRDefault="000E6886">
            <w:pPr>
              <w:rPr>
                <w:rFonts w:cstheme="minorHAnsi"/>
                <w:sz w:val="24"/>
                <w:szCs w:val="24"/>
              </w:rPr>
            </w:pPr>
            <w:r w:rsidRPr="008439B2">
              <w:rPr>
                <w:rFonts w:cstheme="minorHAnsi"/>
                <w:sz w:val="24"/>
                <w:szCs w:val="24"/>
              </w:rPr>
              <w:t>Work with IMD to understand the installation and maintenance of general IT hardware, such as switches, routers, servers, UPS, Ethernet cable, etc. Overview.</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Help Desk – Overview</w:t>
            </w:r>
          </w:p>
        </w:tc>
        <w:tc>
          <w:tcPr>
            <w:tcW w:w="1440" w:type="dxa"/>
          </w:tcPr>
          <w:p w:rsidR="000E6886" w:rsidRPr="008439B2" w:rsidRDefault="000E6886">
            <w:pPr>
              <w:rPr>
                <w:rFonts w:cstheme="minorHAnsi"/>
                <w:sz w:val="24"/>
                <w:szCs w:val="24"/>
              </w:rPr>
            </w:pPr>
            <w:r w:rsidRPr="008439B2">
              <w:rPr>
                <w:rFonts w:cstheme="minorHAnsi"/>
                <w:sz w:val="24"/>
                <w:szCs w:val="24"/>
              </w:rPr>
              <w:t>MAMC/NHB</w:t>
            </w:r>
          </w:p>
        </w:tc>
        <w:tc>
          <w:tcPr>
            <w:tcW w:w="4590" w:type="dxa"/>
          </w:tcPr>
          <w:p w:rsidR="000E6886" w:rsidRPr="008439B2" w:rsidRDefault="000E6886">
            <w:pPr>
              <w:rPr>
                <w:rFonts w:cstheme="minorHAnsi"/>
                <w:sz w:val="24"/>
                <w:szCs w:val="24"/>
              </w:rPr>
            </w:pPr>
            <w:r w:rsidRPr="008439B2">
              <w:rPr>
                <w:rFonts w:cstheme="minorHAnsi"/>
                <w:sz w:val="24"/>
                <w:szCs w:val="24"/>
              </w:rPr>
              <w:t xml:space="preserve">Learn the basic function of a help desk; understand the capabilities of a help desk at the local and enterprise level;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Software - Clinical</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6A428A">
            <w:pPr>
              <w:rPr>
                <w:rFonts w:cstheme="minorHAnsi"/>
                <w:sz w:val="24"/>
                <w:szCs w:val="24"/>
              </w:rPr>
            </w:pPr>
            <w:r w:rsidRPr="008439B2">
              <w:rPr>
                <w:rFonts w:cstheme="minorHAnsi"/>
                <w:sz w:val="24"/>
                <w:szCs w:val="24"/>
              </w:rPr>
              <w:t xml:space="preserve">Learn about the basics of clinical software; learn the </w:t>
            </w:r>
            <w:proofErr w:type="spellStart"/>
            <w:r w:rsidRPr="008439B2">
              <w:rPr>
                <w:rFonts w:cstheme="minorHAnsi"/>
                <w:sz w:val="24"/>
                <w:szCs w:val="24"/>
              </w:rPr>
              <w:t>superuser</w:t>
            </w:r>
            <w:proofErr w:type="spellEnd"/>
            <w:r w:rsidRPr="008439B2">
              <w:rPr>
                <w:rFonts w:cstheme="minorHAnsi"/>
                <w:sz w:val="24"/>
                <w:szCs w:val="24"/>
              </w:rPr>
              <w:t xml:space="preserve"> role for all major clinical software; become very familiar with text macros for both </w:t>
            </w:r>
            <w:proofErr w:type="spellStart"/>
            <w:r w:rsidRPr="008439B2">
              <w:rPr>
                <w:rFonts w:cstheme="minorHAnsi"/>
                <w:sz w:val="24"/>
                <w:szCs w:val="24"/>
              </w:rPr>
              <w:t>Asutype</w:t>
            </w:r>
            <w:proofErr w:type="spellEnd"/>
            <w:r w:rsidRPr="008439B2">
              <w:rPr>
                <w:rFonts w:cstheme="minorHAnsi"/>
                <w:sz w:val="24"/>
                <w:szCs w:val="24"/>
              </w:rPr>
              <w:t xml:space="preserve"> </w:t>
            </w:r>
            <w:r>
              <w:rPr>
                <w:rFonts w:cstheme="minorHAnsi"/>
                <w:sz w:val="24"/>
                <w:szCs w:val="24"/>
              </w:rPr>
              <w:t xml:space="preserve">(AUT) </w:t>
            </w:r>
            <w:r w:rsidRPr="008439B2">
              <w:rPr>
                <w:rFonts w:cstheme="minorHAnsi"/>
                <w:sz w:val="24"/>
                <w:szCs w:val="24"/>
              </w:rPr>
              <w:t xml:space="preserve">and Dragon; learn how to use the clinical software with a tablet and handwriting recognition; learn how to troubleshoot clinical software problems;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Software – Non-Clinical</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726C42">
            <w:pPr>
              <w:rPr>
                <w:rFonts w:cstheme="minorHAnsi"/>
                <w:sz w:val="24"/>
                <w:szCs w:val="24"/>
              </w:rPr>
            </w:pPr>
            <w:r w:rsidRPr="008439B2">
              <w:rPr>
                <w:rFonts w:cstheme="minorHAnsi"/>
                <w:sz w:val="24"/>
                <w:szCs w:val="24"/>
              </w:rPr>
              <w:t>Learn about the basics of non-clinical software;  learn about updates in a virtual and client-based environment; learn the management basics for each application (challenges, solutions); learn about versioning and images</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Large Clinic – Challenges</w:t>
            </w:r>
          </w:p>
        </w:tc>
        <w:tc>
          <w:tcPr>
            <w:tcW w:w="1440" w:type="dxa"/>
          </w:tcPr>
          <w:p w:rsidR="000E6886" w:rsidRPr="008439B2" w:rsidRDefault="000E6886">
            <w:pPr>
              <w:rPr>
                <w:rFonts w:cstheme="minorHAnsi"/>
                <w:sz w:val="24"/>
                <w:szCs w:val="24"/>
              </w:rPr>
            </w:pPr>
            <w:r w:rsidRPr="008439B2">
              <w:rPr>
                <w:rFonts w:cstheme="minorHAnsi"/>
                <w:sz w:val="24"/>
                <w:szCs w:val="24"/>
              </w:rPr>
              <w:t>McChord</w:t>
            </w:r>
          </w:p>
        </w:tc>
        <w:tc>
          <w:tcPr>
            <w:tcW w:w="4590" w:type="dxa"/>
          </w:tcPr>
          <w:p w:rsidR="000E6886" w:rsidRPr="008439B2" w:rsidRDefault="000E6886">
            <w:pPr>
              <w:rPr>
                <w:rFonts w:cstheme="minorHAnsi"/>
                <w:sz w:val="24"/>
                <w:szCs w:val="24"/>
              </w:rPr>
            </w:pPr>
            <w:r w:rsidRPr="008439B2">
              <w:rPr>
                <w:rFonts w:cstheme="minorHAnsi"/>
                <w:sz w:val="24"/>
                <w:szCs w:val="24"/>
              </w:rPr>
              <w:t>Work with IMD to learn the challenges in supporting a large, external clinic; learn from the clinical end users and administrative leaders the challenges of Health IT in a remote, large clinic</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Large MTF – Challenges</w:t>
            </w:r>
          </w:p>
        </w:tc>
        <w:tc>
          <w:tcPr>
            <w:tcW w:w="1440" w:type="dxa"/>
          </w:tcPr>
          <w:p w:rsidR="000E6886" w:rsidRPr="008439B2" w:rsidRDefault="000E6886">
            <w:pPr>
              <w:rPr>
                <w:rFonts w:cstheme="minorHAnsi"/>
                <w:sz w:val="24"/>
                <w:szCs w:val="24"/>
              </w:rPr>
            </w:pPr>
            <w:r w:rsidRPr="008439B2">
              <w:rPr>
                <w:rFonts w:cstheme="minorHAnsi"/>
                <w:sz w:val="24"/>
                <w:szCs w:val="24"/>
              </w:rPr>
              <w:t>MAMC</w:t>
            </w:r>
          </w:p>
        </w:tc>
        <w:tc>
          <w:tcPr>
            <w:tcW w:w="4590" w:type="dxa"/>
          </w:tcPr>
          <w:p w:rsidR="000E6886" w:rsidRPr="008439B2" w:rsidRDefault="000E6886">
            <w:pPr>
              <w:rPr>
                <w:rFonts w:cstheme="minorHAnsi"/>
                <w:sz w:val="24"/>
                <w:szCs w:val="24"/>
              </w:rPr>
            </w:pPr>
            <w:r w:rsidRPr="008439B2">
              <w:rPr>
                <w:rFonts w:cstheme="minorHAnsi"/>
                <w:sz w:val="24"/>
                <w:szCs w:val="24"/>
              </w:rPr>
              <w:t>Work with the IMD team to learn the challenges in supporting a large, tertiary care medical center; learn from the clinical end users and administrative leaders the challenges of Health IT in a large MTF with multiple specialties, GME, and many systems to use</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Medium MTF – Challenges</w:t>
            </w:r>
          </w:p>
        </w:tc>
        <w:tc>
          <w:tcPr>
            <w:tcW w:w="1440" w:type="dxa"/>
          </w:tcPr>
          <w:p w:rsidR="000E6886" w:rsidRPr="008439B2" w:rsidRDefault="000E6886">
            <w:pPr>
              <w:rPr>
                <w:rFonts w:cstheme="minorHAnsi"/>
                <w:sz w:val="24"/>
                <w:szCs w:val="24"/>
              </w:rPr>
            </w:pPr>
            <w:r w:rsidRPr="008439B2">
              <w:rPr>
                <w:rFonts w:cstheme="minorHAnsi"/>
                <w:sz w:val="24"/>
                <w:szCs w:val="24"/>
              </w:rPr>
              <w:t>NHB</w:t>
            </w:r>
          </w:p>
        </w:tc>
        <w:tc>
          <w:tcPr>
            <w:tcW w:w="4590" w:type="dxa"/>
          </w:tcPr>
          <w:p w:rsidR="000E6886" w:rsidRPr="008439B2" w:rsidRDefault="000E6886" w:rsidP="00974959">
            <w:pPr>
              <w:rPr>
                <w:rFonts w:cstheme="minorHAnsi"/>
                <w:sz w:val="24"/>
                <w:szCs w:val="24"/>
              </w:rPr>
            </w:pPr>
            <w:r w:rsidRPr="008439B2">
              <w:rPr>
                <w:rFonts w:cstheme="minorHAnsi"/>
                <w:sz w:val="24"/>
                <w:szCs w:val="24"/>
              </w:rPr>
              <w:t>Work with the IMD team to learn the challenges in supporting a community hospital, especially one with a GME mission; learn from the clinical end users and administrative leaders the challenges of Health IT in a moderate sized MTF  with both an operational support mission and a GME mission</w:t>
            </w:r>
          </w:p>
        </w:tc>
      </w:tr>
      <w:tr w:rsidR="000E6886" w:rsidRPr="008439B2" w:rsidTr="000E6886">
        <w:tc>
          <w:tcPr>
            <w:tcW w:w="3348" w:type="dxa"/>
          </w:tcPr>
          <w:p w:rsidR="000E6886" w:rsidRPr="008439B2" w:rsidRDefault="000E6886">
            <w:pPr>
              <w:rPr>
                <w:rFonts w:cstheme="minorHAnsi"/>
                <w:sz w:val="24"/>
                <w:szCs w:val="24"/>
              </w:rPr>
            </w:pPr>
            <w:r w:rsidRPr="008439B2">
              <w:rPr>
                <w:rFonts w:cstheme="minorHAnsi"/>
                <w:sz w:val="24"/>
                <w:szCs w:val="24"/>
              </w:rPr>
              <w:t>Systems/Servers - Overview</w:t>
            </w:r>
          </w:p>
        </w:tc>
        <w:tc>
          <w:tcPr>
            <w:tcW w:w="1440" w:type="dxa"/>
          </w:tcPr>
          <w:p w:rsidR="000E6886" w:rsidRPr="008439B2" w:rsidRDefault="000E6886">
            <w:pPr>
              <w:rPr>
                <w:rFonts w:cstheme="minorHAnsi"/>
                <w:sz w:val="24"/>
                <w:szCs w:val="24"/>
              </w:rPr>
            </w:pPr>
            <w:r w:rsidRPr="008439B2">
              <w:rPr>
                <w:rFonts w:cstheme="minorHAnsi"/>
                <w:sz w:val="24"/>
                <w:szCs w:val="24"/>
              </w:rPr>
              <w:t>MAMC/NHB</w:t>
            </w:r>
          </w:p>
        </w:tc>
        <w:tc>
          <w:tcPr>
            <w:tcW w:w="4590" w:type="dxa"/>
          </w:tcPr>
          <w:p w:rsidR="000E6886" w:rsidRPr="008439B2" w:rsidRDefault="000E6886">
            <w:pPr>
              <w:rPr>
                <w:rFonts w:cstheme="minorHAnsi"/>
                <w:sz w:val="24"/>
                <w:szCs w:val="24"/>
              </w:rPr>
            </w:pPr>
            <w:r w:rsidRPr="008439B2">
              <w:rPr>
                <w:rFonts w:cstheme="minorHAnsi"/>
                <w:sz w:val="24"/>
                <w:szCs w:val="24"/>
              </w:rPr>
              <w:t xml:space="preserve">Learn from both IMD and Informatics staff at a large tertiary care medical center and a medium-sized MTF an overview of the process and challenges in installing, </w:t>
            </w:r>
            <w:r w:rsidRPr="008439B2">
              <w:rPr>
                <w:rFonts w:cstheme="minorHAnsi"/>
                <w:sz w:val="24"/>
                <w:szCs w:val="24"/>
              </w:rPr>
              <w:lastRenderedPageBreak/>
              <w:t>configuring and maintaining servers and entire systems (often with their own, dedicated servers)</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lastRenderedPageBreak/>
              <w:t>Virtualization - Application</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MAMC/McChord</w:t>
            </w:r>
          </w:p>
        </w:tc>
        <w:tc>
          <w:tcPr>
            <w:tcW w:w="4590" w:type="dxa"/>
          </w:tcPr>
          <w:p w:rsidR="000E6886" w:rsidRPr="008439B2" w:rsidRDefault="000E6886" w:rsidP="00726C42">
            <w:pPr>
              <w:rPr>
                <w:rFonts w:cstheme="minorHAnsi"/>
                <w:sz w:val="24"/>
                <w:szCs w:val="24"/>
              </w:rPr>
            </w:pPr>
            <w:bookmarkStart w:id="1" w:name="OLE_LINK1"/>
            <w:bookmarkStart w:id="2" w:name="OLE_LINK2"/>
            <w:r w:rsidRPr="008439B2">
              <w:rPr>
                <w:rFonts w:cstheme="minorHAnsi"/>
                <w:sz w:val="24"/>
                <w:szCs w:val="24"/>
              </w:rPr>
              <w:t>Learn from IMD the process and challenges in application virtualization (to include server configuration and maintenance); from the clinical end users, learn the benefits of and challenges to application virtualization at their level, especially with regards to work flow</w:t>
            </w:r>
            <w:bookmarkEnd w:id="1"/>
            <w:bookmarkEnd w:id="2"/>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Virtualization – Desktop/User</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MAMC/McChord</w:t>
            </w:r>
          </w:p>
        </w:tc>
        <w:tc>
          <w:tcPr>
            <w:tcW w:w="4590" w:type="dxa"/>
          </w:tcPr>
          <w:p w:rsidR="000E6886" w:rsidRPr="008439B2" w:rsidRDefault="000E6886" w:rsidP="00D25CFC">
            <w:pPr>
              <w:rPr>
                <w:rFonts w:cstheme="minorHAnsi"/>
                <w:sz w:val="24"/>
                <w:szCs w:val="24"/>
              </w:rPr>
            </w:pPr>
            <w:r w:rsidRPr="008439B2">
              <w:rPr>
                <w:rFonts w:cstheme="minorHAnsi"/>
                <w:sz w:val="24"/>
                <w:szCs w:val="24"/>
              </w:rPr>
              <w:t>Learn from IMD the process and challenges in desktop/user virtualization (to include server configuration and maintenance); from the clinical end users, learn the benefits of and challenges to desktop/user virtualization at their level, especially with regards to work flow</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Virtualization - Server</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MAMC/McChord</w:t>
            </w:r>
          </w:p>
        </w:tc>
        <w:tc>
          <w:tcPr>
            <w:tcW w:w="4590" w:type="dxa"/>
          </w:tcPr>
          <w:p w:rsidR="000E6886" w:rsidRPr="008439B2" w:rsidRDefault="000E6886">
            <w:pPr>
              <w:rPr>
                <w:rFonts w:cstheme="minorHAnsi"/>
                <w:sz w:val="24"/>
                <w:szCs w:val="24"/>
              </w:rPr>
            </w:pPr>
            <w:r w:rsidRPr="008439B2">
              <w:rPr>
                <w:rFonts w:cstheme="minorHAnsi"/>
                <w:sz w:val="24"/>
                <w:szCs w:val="24"/>
              </w:rPr>
              <w:t xml:space="preserve">Learn from IMD and Informatics the processes and challenges in configuring and maintaining virtualized servers. This is to be distinct from application virtualization, which is powered from the virtualization server.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DBC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pPr>
              <w:rPr>
                <w:rFonts w:cstheme="minorHAnsi"/>
                <w:sz w:val="24"/>
                <w:szCs w:val="24"/>
              </w:rPr>
            </w:pPr>
            <w:r w:rsidRPr="008439B2">
              <w:rPr>
                <w:rFonts w:cstheme="minorHAnsi"/>
                <w:sz w:val="24"/>
                <w:szCs w:val="24"/>
              </w:rPr>
              <w:t>Learn from Informatics and IMD about the DBC process (overview only) and what sort of projects/capabilities fall under the auspices of this program</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Switches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MAMC/NHB</w:t>
            </w:r>
          </w:p>
        </w:tc>
        <w:tc>
          <w:tcPr>
            <w:tcW w:w="4590" w:type="dxa"/>
          </w:tcPr>
          <w:p w:rsidR="000E6886" w:rsidRPr="008439B2" w:rsidRDefault="000E6886">
            <w:pPr>
              <w:rPr>
                <w:rFonts w:cstheme="minorHAnsi"/>
                <w:sz w:val="24"/>
                <w:szCs w:val="24"/>
              </w:rPr>
            </w:pPr>
            <w:bookmarkStart w:id="3" w:name="OLE_LINK3"/>
            <w:bookmarkStart w:id="4" w:name="OLE_LINK4"/>
            <w:r w:rsidRPr="008439B2">
              <w:rPr>
                <w:rFonts w:cstheme="minorHAnsi"/>
                <w:sz w:val="24"/>
                <w:szCs w:val="24"/>
              </w:rPr>
              <w:t>Learn from IMD about configuration and maintenance of network switches (overview only)</w:t>
            </w:r>
            <w:bookmarkEnd w:id="3"/>
            <w:bookmarkEnd w:id="4"/>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Network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MAMC/NHB</w:t>
            </w:r>
          </w:p>
        </w:tc>
        <w:tc>
          <w:tcPr>
            <w:tcW w:w="4590" w:type="dxa"/>
          </w:tcPr>
          <w:p w:rsidR="000E6886" w:rsidRPr="008439B2" w:rsidRDefault="000E6886" w:rsidP="009B1E4B">
            <w:pPr>
              <w:rPr>
                <w:rFonts w:cstheme="minorHAnsi"/>
                <w:sz w:val="24"/>
                <w:szCs w:val="24"/>
              </w:rPr>
            </w:pPr>
            <w:r w:rsidRPr="008439B2">
              <w:rPr>
                <w:rFonts w:cstheme="minorHAnsi"/>
                <w:sz w:val="24"/>
                <w:szCs w:val="24"/>
              </w:rPr>
              <w:t>Learn from IMD about configuration and maintenance of networks (overview only)</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Wireless Access Points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MAMC/NHB</w:t>
            </w:r>
          </w:p>
        </w:tc>
        <w:tc>
          <w:tcPr>
            <w:tcW w:w="4590" w:type="dxa"/>
          </w:tcPr>
          <w:p w:rsidR="000E6886" w:rsidRPr="008439B2" w:rsidRDefault="000E6886" w:rsidP="009B1E4B">
            <w:pPr>
              <w:rPr>
                <w:rFonts w:cstheme="minorHAnsi"/>
                <w:sz w:val="24"/>
                <w:szCs w:val="24"/>
              </w:rPr>
            </w:pPr>
            <w:r w:rsidRPr="008439B2">
              <w:rPr>
                <w:rFonts w:cstheme="minorHAnsi"/>
                <w:sz w:val="24"/>
                <w:szCs w:val="24"/>
              </w:rPr>
              <w:t>Learn from IMD about configuration and maintenance of network WAP’s (overview only)</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Ethernet LAN</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MAMC/NHB</w:t>
            </w:r>
          </w:p>
        </w:tc>
        <w:tc>
          <w:tcPr>
            <w:tcW w:w="4590" w:type="dxa"/>
          </w:tcPr>
          <w:p w:rsidR="000E6886" w:rsidRPr="008439B2" w:rsidRDefault="000E6886" w:rsidP="009B1E4B">
            <w:pPr>
              <w:rPr>
                <w:rFonts w:cstheme="minorHAnsi"/>
                <w:sz w:val="24"/>
                <w:szCs w:val="24"/>
              </w:rPr>
            </w:pPr>
            <w:r w:rsidRPr="008439B2">
              <w:rPr>
                <w:rFonts w:cstheme="minorHAnsi"/>
                <w:sz w:val="24"/>
                <w:szCs w:val="24"/>
              </w:rPr>
              <w:t>Learn from IMD about configuration and maintenance of an Ethernet LAN (overview only)</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Dead Zones</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MAMC/NHB</w:t>
            </w:r>
          </w:p>
        </w:tc>
        <w:tc>
          <w:tcPr>
            <w:tcW w:w="4590" w:type="dxa"/>
          </w:tcPr>
          <w:p w:rsidR="000E6886" w:rsidRPr="008439B2" w:rsidRDefault="000E6886" w:rsidP="009B1E4B">
            <w:pPr>
              <w:rPr>
                <w:rFonts w:cstheme="minorHAnsi"/>
                <w:sz w:val="24"/>
                <w:szCs w:val="24"/>
              </w:rPr>
            </w:pPr>
            <w:r w:rsidRPr="008439B2">
              <w:rPr>
                <w:rFonts w:cstheme="minorHAnsi"/>
                <w:sz w:val="24"/>
                <w:szCs w:val="24"/>
              </w:rPr>
              <w:t>Learn from IMD about identification and resolution of network (WLAN) dead zones (overview only)</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Workflow Analysis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726C42">
            <w:pPr>
              <w:rPr>
                <w:rFonts w:cstheme="minorHAnsi"/>
                <w:sz w:val="24"/>
                <w:szCs w:val="24"/>
              </w:rPr>
            </w:pPr>
            <w:r w:rsidRPr="008439B2">
              <w:rPr>
                <w:rFonts w:cstheme="minorHAnsi"/>
                <w:sz w:val="24"/>
                <w:szCs w:val="24"/>
              </w:rPr>
              <w:t xml:space="preserve">Work with and learn from the Madigan CWA’s about the steps and processes involved in performing, publishing and implementing clinical workflow analyses for </w:t>
            </w:r>
            <w:r w:rsidRPr="008439B2">
              <w:rPr>
                <w:rFonts w:cstheme="minorHAnsi"/>
                <w:sz w:val="24"/>
                <w:szCs w:val="24"/>
              </w:rPr>
              <w:lastRenderedPageBreak/>
              <w:t>different levels of clinics and departments</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lastRenderedPageBreak/>
              <w:t>Predictive Analytics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726C42">
            <w:pPr>
              <w:rPr>
                <w:rFonts w:cstheme="minorHAnsi"/>
                <w:sz w:val="24"/>
                <w:szCs w:val="24"/>
              </w:rPr>
            </w:pPr>
            <w:r w:rsidRPr="008439B2">
              <w:rPr>
                <w:rFonts w:cstheme="minorHAnsi"/>
                <w:sz w:val="24"/>
                <w:szCs w:val="24"/>
              </w:rPr>
              <w:t>Learn from Informatics personnel the concepts and tools used for predictive analytics. If possible, we will engage in practical applications and established programs at MAMC or local entities.</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Workflow Analysis – Case Example</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726C42">
            <w:pPr>
              <w:rPr>
                <w:rFonts w:cstheme="minorHAnsi"/>
                <w:sz w:val="24"/>
                <w:szCs w:val="24"/>
              </w:rPr>
            </w:pPr>
            <w:r w:rsidRPr="008439B2">
              <w:rPr>
                <w:rFonts w:cstheme="minorHAnsi"/>
                <w:sz w:val="24"/>
                <w:szCs w:val="24"/>
              </w:rPr>
              <w:t>Work with one or more CWA’s to perform and develop the analytics for a real-life workflow analysis. Not the entire project, but enough to understand how it is done and the level of effort involved.</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Standardization – Case Example</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726C42">
            <w:pPr>
              <w:rPr>
                <w:rFonts w:cstheme="minorHAnsi"/>
                <w:sz w:val="24"/>
                <w:szCs w:val="24"/>
              </w:rPr>
            </w:pPr>
            <w:r w:rsidRPr="008439B2">
              <w:rPr>
                <w:rFonts w:cstheme="minorHAnsi"/>
                <w:sz w:val="24"/>
                <w:szCs w:val="24"/>
              </w:rPr>
              <w:t xml:space="preserve">Work with Informatics personnel to learn about the process involved in standardizing software and content. Work with both CI and IMD personnel to discuss and learn how best to approach standardization using case examples…as both good and bad methods to use.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Standardization – Principles</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726C42">
            <w:pPr>
              <w:rPr>
                <w:rFonts w:cstheme="minorHAnsi"/>
                <w:sz w:val="24"/>
                <w:szCs w:val="24"/>
              </w:rPr>
            </w:pPr>
            <w:r w:rsidRPr="008439B2">
              <w:rPr>
                <w:rFonts w:cstheme="minorHAnsi"/>
                <w:sz w:val="24"/>
                <w:szCs w:val="24"/>
              </w:rPr>
              <w:t>Discuss the approaches to standardization of both software and hardware, using the principles of portfolio management, user engagement, governance</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GUI Design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726C42">
            <w:pPr>
              <w:rPr>
                <w:rFonts w:cstheme="minorHAnsi"/>
                <w:sz w:val="24"/>
                <w:szCs w:val="24"/>
              </w:rPr>
            </w:pPr>
            <w:r w:rsidRPr="008439B2">
              <w:rPr>
                <w:rFonts w:cstheme="minorHAnsi"/>
                <w:sz w:val="24"/>
                <w:szCs w:val="24"/>
              </w:rPr>
              <w:t>Discuss the concepts of GUI design using real world examples of GUI’s considered to be excellent and those considered to be not good, even horrid. Discuss the principles of GUI design.</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Training – Overview/Concepts</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MAMC/NHB/McChord</w:t>
            </w:r>
          </w:p>
        </w:tc>
        <w:tc>
          <w:tcPr>
            <w:tcW w:w="4590" w:type="dxa"/>
          </w:tcPr>
          <w:p w:rsidR="000E6886" w:rsidRPr="008439B2" w:rsidRDefault="000E6886" w:rsidP="00726C42">
            <w:pPr>
              <w:rPr>
                <w:rFonts w:cstheme="minorHAnsi"/>
                <w:sz w:val="24"/>
                <w:szCs w:val="24"/>
              </w:rPr>
            </w:pPr>
            <w:r w:rsidRPr="008439B2">
              <w:rPr>
                <w:rFonts w:cstheme="minorHAnsi"/>
                <w:sz w:val="24"/>
                <w:szCs w:val="24"/>
              </w:rPr>
              <w:t xml:space="preserve">Work with CI personnel to review concepts of training software and systems, and sit in on some classes to understand the different approaches to ILT. Go over the principles </w:t>
            </w:r>
            <w:proofErr w:type="gramStart"/>
            <w:r w:rsidRPr="008439B2">
              <w:rPr>
                <w:rFonts w:cstheme="minorHAnsi"/>
                <w:sz w:val="24"/>
                <w:szCs w:val="24"/>
              </w:rPr>
              <w:t>of  training</w:t>
            </w:r>
            <w:proofErr w:type="gramEnd"/>
            <w:r w:rsidRPr="008439B2">
              <w:rPr>
                <w:rFonts w:cstheme="minorHAnsi"/>
                <w:sz w:val="24"/>
                <w:szCs w:val="24"/>
              </w:rPr>
              <w:t xml:space="preserve"> and teach some classes.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Usability and Testing</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726C42">
            <w:pPr>
              <w:rPr>
                <w:rFonts w:cstheme="minorHAnsi"/>
                <w:sz w:val="24"/>
                <w:szCs w:val="24"/>
              </w:rPr>
            </w:pPr>
            <w:r w:rsidRPr="008439B2">
              <w:rPr>
                <w:rFonts w:cstheme="minorHAnsi"/>
                <w:sz w:val="24"/>
                <w:szCs w:val="24"/>
              </w:rPr>
              <w:t>Review the principles of usability and testing, and visit with CI designers to go over how those principles are applied to BI products and other applications. If possible, visit with Microsoft to go over how usability testing is designed and carried out.</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DBA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8439B2" w:rsidRDefault="000E6886" w:rsidP="00726C42">
            <w:pPr>
              <w:rPr>
                <w:rFonts w:cstheme="minorHAnsi"/>
                <w:sz w:val="24"/>
                <w:szCs w:val="24"/>
              </w:rPr>
            </w:pPr>
            <w:r w:rsidRPr="008439B2">
              <w:rPr>
                <w:rFonts w:cstheme="minorHAnsi"/>
                <w:sz w:val="24"/>
                <w:szCs w:val="24"/>
              </w:rPr>
              <w:t>Work with the CI DBA’s to learn what the DBA’s role is in designing data queries and BI tools; understand the challenges and limitations of data…to include accessing data sources, designing queries and the effect of data integrity</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Business Analytics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w:t>
            </w:r>
          </w:p>
        </w:tc>
        <w:tc>
          <w:tcPr>
            <w:tcW w:w="4590" w:type="dxa"/>
          </w:tcPr>
          <w:p w:rsidR="000E6886" w:rsidRPr="00F1515C" w:rsidRDefault="000E6886" w:rsidP="008439B2">
            <w:pPr>
              <w:pStyle w:val="NormalWeb"/>
              <w:rPr>
                <w:rFonts w:asciiTheme="minorHAnsi" w:hAnsiTheme="minorHAnsi" w:cstheme="minorHAnsi"/>
                <w:bCs/>
              </w:rPr>
            </w:pPr>
            <w:r w:rsidRPr="00F1515C">
              <w:rPr>
                <w:rFonts w:asciiTheme="minorHAnsi" w:hAnsiTheme="minorHAnsi" w:cstheme="minorHAnsi"/>
              </w:rPr>
              <w:t xml:space="preserve">Work with the members of the MAMC BI </w:t>
            </w:r>
            <w:r w:rsidRPr="00F1515C">
              <w:rPr>
                <w:rFonts w:asciiTheme="minorHAnsi" w:hAnsiTheme="minorHAnsi" w:cstheme="minorHAnsi"/>
              </w:rPr>
              <w:lastRenderedPageBreak/>
              <w:t>team to learn about the basics of business analytics.</w:t>
            </w:r>
            <w:r w:rsidRPr="00F1515C">
              <w:rPr>
                <w:rFonts w:asciiTheme="minorHAnsi" w:hAnsiTheme="minorHAnsi" w:cstheme="minorHAnsi"/>
                <w:bCs/>
              </w:rPr>
              <w:t xml:space="preserve"> </w:t>
            </w:r>
          </w:p>
          <w:p w:rsidR="000E6886" w:rsidRPr="00F1515C" w:rsidRDefault="000E6886" w:rsidP="008439B2">
            <w:pPr>
              <w:pStyle w:val="NormalWeb"/>
              <w:rPr>
                <w:rFonts w:asciiTheme="minorHAnsi" w:hAnsiTheme="minorHAnsi" w:cstheme="minorHAnsi"/>
              </w:rPr>
            </w:pPr>
            <w:r w:rsidRPr="00F1515C">
              <w:rPr>
                <w:rFonts w:asciiTheme="minorHAnsi" w:hAnsiTheme="minorHAnsi" w:cstheme="minorHAnsi"/>
                <w:bCs/>
              </w:rPr>
              <w:t>Business analytics</w:t>
            </w:r>
            <w:r w:rsidRPr="00F1515C">
              <w:rPr>
                <w:rFonts w:asciiTheme="minorHAnsi" w:hAnsiTheme="minorHAnsi" w:cstheme="minorHAnsi"/>
              </w:rPr>
              <w:t xml:space="preserve"> (</w:t>
            </w:r>
            <w:r w:rsidRPr="00F1515C">
              <w:rPr>
                <w:rFonts w:asciiTheme="minorHAnsi" w:hAnsiTheme="minorHAnsi" w:cstheme="minorHAnsi"/>
                <w:bCs/>
              </w:rPr>
              <w:t>BA</w:t>
            </w:r>
            <w:r w:rsidRPr="00F1515C">
              <w:rPr>
                <w:rFonts w:asciiTheme="minorHAnsi" w:hAnsiTheme="minorHAnsi" w:cstheme="minorHAnsi"/>
              </w:rPr>
              <w:t xml:space="preserve">) refers to the skills, technologies, applications and practices for continuous iterative exploration and investigation of past business performance to gain insight and drive business planning. Business analytics focuses on developing new insights and understanding of business performance based on data and statistical methods. </w:t>
            </w:r>
          </w:p>
          <w:p w:rsidR="000E6886" w:rsidRPr="00F1515C" w:rsidRDefault="000E6886" w:rsidP="008439B2">
            <w:pPr>
              <w:pStyle w:val="NormalWeb"/>
              <w:rPr>
                <w:rFonts w:asciiTheme="minorHAnsi" w:hAnsiTheme="minorHAnsi" w:cstheme="minorHAnsi"/>
              </w:rPr>
            </w:pPr>
            <w:r w:rsidRPr="00F1515C">
              <w:rPr>
                <w:rFonts w:asciiTheme="minorHAnsi" w:hAnsiTheme="minorHAnsi" w:cstheme="minorHAnsi"/>
              </w:rPr>
              <w:t xml:space="preserve">Business analytics makes extensive use of data, statistical and quantitative analysis, explanatory and predictive modeling, and fact-based management to drive decision making </w:t>
            </w:r>
          </w:p>
          <w:p w:rsidR="000E6886" w:rsidRPr="00F1515C" w:rsidRDefault="000E6886" w:rsidP="008439B2">
            <w:pPr>
              <w:pStyle w:val="NormalWeb"/>
              <w:rPr>
                <w:rFonts w:asciiTheme="minorHAnsi" w:hAnsiTheme="minorHAnsi" w:cstheme="minorHAnsi"/>
              </w:rPr>
            </w:pPr>
            <w:r w:rsidRPr="00F1515C">
              <w:rPr>
                <w:rFonts w:asciiTheme="minorHAnsi" w:hAnsiTheme="minorHAnsi" w:cstheme="minorHAnsi"/>
              </w:rPr>
              <w:t xml:space="preserve">Analytics may be used as input for human decisions or may drive fully automated decisions.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lastRenderedPageBreak/>
              <w:t>Business Intelligence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MAMC/NHB</w:t>
            </w:r>
          </w:p>
        </w:tc>
        <w:tc>
          <w:tcPr>
            <w:tcW w:w="4590" w:type="dxa"/>
          </w:tcPr>
          <w:p w:rsidR="000E6886" w:rsidRPr="008439B2" w:rsidRDefault="000E6886" w:rsidP="00726C42">
            <w:pPr>
              <w:rPr>
                <w:rFonts w:cstheme="minorHAnsi"/>
                <w:sz w:val="24"/>
                <w:szCs w:val="24"/>
              </w:rPr>
            </w:pPr>
            <w:r w:rsidRPr="008439B2">
              <w:rPr>
                <w:rFonts w:cstheme="minorHAnsi"/>
                <w:sz w:val="24"/>
                <w:szCs w:val="24"/>
              </w:rPr>
              <w:t>Work with the members of the MAMC BI team to learn about BI, how it is designed, how it is developed and how it is deployed. Learn about Agile processes involved in delivering what the customers need and making it both functional and usable.</w:t>
            </w:r>
          </w:p>
          <w:p w:rsidR="000E6886" w:rsidRPr="008439B2" w:rsidRDefault="000E6886" w:rsidP="00726C42">
            <w:pPr>
              <w:rPr>
                <w:rFonts w:cstheme="minorHAnsi"/>
                <w:sz w:val="24"/>
                <w:szCs w:val="24"/>
              </w:rPr>
            </w:pPr>
          </w:p>
          <w:p w:rsidR="000E6886" w:rsidRPr="008439B2" w:rsidRDefault="000E6886" w:rsidP="00726C42">
            <w:pPr>
              <w:rPr>
                <w:rFonts w:cstheme="minorHAnsi"/>
                <w:sz w:val="24"/>
                <w:szCs w:val="24"/>
              </w:rPr>
            </w:pPr>
            <w:r w:rsidRPr="008439B2">
              <w:rPr>
                <w:rFonts w:cstheme="minorHAnsi"/>
                <w:sz w:val="24"/>
                <w:szCs w:val="24"/>
              </w:rPr>
              <w:t>Business intelligence traditionally focuses on using a consistent set of metrics to both measure past performance and guide business planning, which is also based on data and statistical methods.</w:t>
            </w:r>
          </w:p>
          <w:p w:rsidR="000E6886" w:rsidRPr="008439B2" w:rsidRDefault="000E6886" w:rsidP="00726C42">
            <w:pPr>
              <w:rPr>
                <w:rFonts w:cstheme="minorHAnsi"/>
                <w:sz w:val="24"/>
                <w:szCs w:val="24"/>
              </w:rPr>
            </w:pPr>
          </w:p>
          <w:p w:rsidR="000E6886" w:rsidRPr="008439B2" w:rsidRDefault="000E6886" w:rsidP="00726C42">
            <w:pPr>
              <w:rPr>
                <w:rFonts w:cstheme="minorHAnsi"/>
                <w:sz w:val="24"/>
                <w:szCs w:val="24"/>
              </w:rPr>
            </w:pPr>
            <w:r w:rsidRPr="008439B2">
              <w:rPr>
                <w:rFonts w:cstheme="minorHAnsi"/>
                <w:sz w:val="24"/>
                <w:szCs w:val="24"/>
              </w:rPr>
              <w:t>Business intelligence is querying, reporting, OLAP, and "alerts."</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Project Management – Basics</w:t>
            </w:r>
          </w:p>
        </w:tc>
        <w:tc>
          <w:tcPr>
            <w:tcW w:w="1440" w:type="dxa"/>
          </w:tcPr>
          <w:p w:rsidR="000E6886" w:rsidRPr="008439B2" w:rsidRDefault="000E6886" w:rsidP="00726C42">
            <w:pPr>
              <w:rPr>
                <w:rFonts w:cstheme="minorHAnsi"/>
                <w:sz w:val="24"/>
                <w:szCs w:val="24"/>
              </w:rPr>
            </w:pPr>
            <w:r w:rsidRPr="008439B2">
              <w:rPr>
                <w:rFonts w:cstheme="minorHAnsi"/>
                <w:sz w:val="24"/>
                <w:szCs w:val="24"/>
              </w:rPr>
              <w:t>IMD/CI</w:t>
            </w:r>
          </w:p>
        </w:tc>
        <w:tc>
          <w:tcPr>
            <w:tcW w:w="4590" w:type="dxa"/>
          </w:tcPr>
          <w:p w:rsidR="000E6886" w:rsidRPr="008439B2" w:rsidRDefault="000E6886" w:rsidP="00726C42">
            <w:pPr>
              <w:rPr>
                <w:rFonts w:cstheme="minorHAnsi"/>
                <w:sz w:val="24"/>
                <w:szCs w:val="24"/>
              </w:rPr>
            </w:pPr>
            <w:r w:rsidRPr="008439B2">
              <w:rPr>
                <w:rFonts w:cstheme="minorHAnsi"/>
                <w:sz w:val="24"/>
                <w:szCs w:val="24"/>
              </w:rPr>
              <w:t xml:space="preserve">Work with MAMC CI and IMD personnel to learn the basics of project management. </w:t>
            </w:r>
          </w:p>
          <w:p w:rsidR="000E6886" w:rsidRPr="008439B2" w:rsidRDefault="000E6886" w:rsidP="00726C42">
            <w:pPr>
              <w:rPr>
                <w:rFonts w:cstheme="minorHAnsi"/>
                <w:sz w:val="24"/>
                <w:szCs w:val="24"/>
              </w:rPr>
            </w:pPr>
          </w:p>
          <w:p w:rsidR="000E6886" w:rsidRPr="008439B2" w:rsidRDefault="000E6886" w:rsidP="00726C42">
            <w:pPr>
              <w:rPr>
                <w:rFonts w:cstheme="minorHAnsi"/>
                <w:sz w:val="24"/>
                <w:szCs w:val="24"/>
              </w:rPr>
            </w:pPr>
            <w:r w:rsidRPr="008439B2">
              <w:rPr>
                <w:sz w:val="24"/>
                <w:szCs w:val="24"/>
              </w:rPr>
              <w:t xml:space="preserve">The topics </w:t>
            </w:r>
            <w:r>
              <w:rPr>
                <w:sz w:val="24"/>
                <w:szCs w:val="24"/>
              </w:rPr>
              <w:t xml:space="preserve">for discussion </w:t>
            </w:r>
            <w:r w:rsidRPr="008439B2">
              <w:rPr>
                <w:sz w:val="24"/>
                <w:szCs w:val="24"/>
              </w:rPr>
              <w:t>include planning, organizing, motivating, and controlling resources to achieve specific goals.</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Project Management – Advanced</w:t>
            </w:r>
          </w:p>
        </w:tc>
        <w:tc>
          <w:tcPr>
            <w:tcW w:w="1440" w:type="dxa"/>
          </w:tcPr>
          <w:p w:rsidR="000E6886" w:rsidRPr="008439B2" w:rsidRDefault="000E6886" w:rsidP="00726C42">
            <w:pPr>
              <w:rPr>
                <w:rFonts w:cstheme="minorHAnsi"/>
                <w:sz w:val="24"/>
                <w:szCs w:val="24"/>
              </w:rPr>
            </w:pPr>
            <w:r w:rsidRPr="008439B2">
              <w:rPr>
                <w:rFonts w:cstheme="minorHAnsi"/>
                <w:sz w:val="24"/>
                <w:szCs w:val="24"/>
              </w:rPr>
              <w:t>IMD/CI</w:t>
            </w:r>
          </w:p>
        </w:tc>
        <w:tc>
          <w:tcPr>
            <w:tcW w:w="4590" w:type="dxa"/>
          </w:tcPr>
          <w:p w:rsidR="000E6886" w:rsidRPr="00F1515C" w:rsidRDefault="000E6886" w:rsidP="00726C42">
            <w:pPr>
              <w:rPr>
                <w:rFonts w:cstheme="minorHAnsi"/>
                <w:sz w:val="24"/>
                <w:szCs w:val="24"/>
              </w:rPr>
            </w:pPr>
            <w:r w:rsidRPr="00F1515C">
              <w:rPr>
                <w:rFonts w:cstheme="minorHAnsi"/>
                <w:sz w:val="24"/>
                <w:szCs w:val="24"/>
              </w:rPr>
              <w:t xml:space="preserve">Work with MAMC IMD and CI personnel to learn advanced project management principles. </w:t>
            </w:r>
          </w:p>
          <w:p w:rsidR="000E6886" w:rsidRPr="00F1515C" w:rsidRDefault="000E6886" w:rsidP="00726C42">
            <w:pPr>
              <w:rPr>
                <w:sz w:val="24"/>
                <w:szCs w:val="24"/>
              </w:rPr>
            </w:pPr>
          </w:p>
          <w:p w:rsidR="000E6886" w:rsidRPr="00F1515C" w:rsidRDefault="000E6886" w:rsidP="00726C42">
            <w:pPr>
              <w:rPr>
                <w:rFonts w:cstheme="minorHAnsi"/>
                <w:sz w:val="24"/>
                <w:szCs w:val="24"/>
              </w:rPr>
            </w:pPr>
            <w:r w:rsidRPr="00F1515C">
              <w:rPr>
                <w:rFonts w:cstheme="minorHAnsi"/>
                <w:sz w:val="24"/>
                <w:szCs w:val="24"/>
              </w:rPr>
              <w:t>A traditional phased approach identifies a sequence of steps to be completed:</w:t>
            </w:r>
          </w:p>
          <w:p w:rsidR="000E6886" w:rsidRPr="00F1515C" w:rsidRDefault="000E6886" w:rsidP="00F1515C">
            <w:pPr>
              <w:numPr>
                <w:ilvl w:val="0"/>
                <w:numId w:val="1"/>
              </w:numPr>
              <w:rPr>
                <w:rFonts w:eastAsia="Times New Roman" w:cstheme="minorHAnsi"/>
                <w:sz w:val="24"/>
                <w:szCs w:val="24"/>
              </w:rPr>
            </w:pPr>
            <w:r w:rsidRPr="00F1515C">
              <w:rPr>
                <w:rFonts w:eastAsia="Times New Roman" w:cstheme="minorHAnsi"/>
                <w:sz w:val="24"/>
                <w:szCs w:val="24"/>
              </w:rPr>
              <w:t>initiation</w:t>
            </w:r>
          </w:p>
          <w:p w:rsidR="000E6886" w:rsidRPr="00F1515C" w:rsidRDefault="000E6886" w:rsidP="00F1515C">
            <w:pPr>
              <w:numPr>
                <w:ilvl w:val="0"/>
                <w:numId w:val="1"/>
              </w:numPr>
              <w:spacing w:before="100" w:beforeAutospacing="1" w:after="100" w:afterAutospacing="1"/>
              <w:rPr>
                <w:rFonts w:eastAsia="Times New Roman" w:cstheme="minorHAnsi"/>
                <w:sz w:val="24"/>
                <w:szCs w:val="24"/>
              </w:rPr>
            </w:pPr>
            <w:hyperlink r:id="rId5" w:tooltip="Project planning" w:history="1">
              <w:r w:rsidRPr="00F1515C">
                <w:rPr>
                  <w:rFonts w:eastAsia="Times New Roman" w:cstheme="minorHAnsi"/>
                  <w:color w:val="0000FF"/>
                  <w:sz w:val="24"/>
                  <w:szCs w:val="24"/>
                  <w:u w:val="single"/>
                </w:rPr>
                <w:t>planning</w:t>
              </w:r>
            </w:hyperlink>
            <w:r w:rsidRPr="00F1515C">
              <w:rPr>
                <w:rFonts w:eastAsia="Times New Roman" w:cstheme="minorHAnsi"/>
                <w:sz w:val="24"/>
                <w:szCs w:val="24"/>
              </w:rPr>
              <w:t xml:space="preserve"> and design</w:t>
            </w:r>
          </w:p>
          <w:p w:rsidR="000E6886" w:rsidRPr="00F1515C" w:rsidRDefault="000E6886" w:rsidP="00F1515C">
            <w:pPr>
              <w:numPr>
                <w:ilvl w:val="0"/>
                <w:numId w:val="1"/>
              </w:numPr>
              <w:spacing w:before="100" w:beforeAutospacing="1" w:after="100" w:afterAutospacing="1"/>
              <w:rPr>
                <w:rFonts w:eastAsia="Times New Roman" w:cstheme="minorHAnsi"/>
                <w:sz w:val="24"/>
                <w:szCs w:val="24"/>
              </w:rPr>
            </w:pPr>
            <w:r w:rsidRPr="00F1515C">
              <w:rPr>
                <w:rFonts w:eastAsia="Times New Roman" w:cstheme="minorHAnsi"/>
                <w:sz w:val="24"/>
                <w:szCs w:val="24"/>
              </w:rPr>
              <w:t>execution and construction</w:t>
            </w:r>
          </w:p>
          <w:p w:rsidR="000E6886" w:rsidRPr="00F1515C" w:rsidRDefault="000E6886" w:rsidP="00F1515C">
            <w:pPr>
              <w:numPr>
                <w:ilvl w:val="0"/>
                <w:numId w:val="1"/>
              </w:numPr>
              <w:spacing w:before="100" w:beforeAutospacing="1" w:after="100" w:afterAutospacing="1"/>
              <w:rPr>
                <w:rFonts w:eastAsia="Times New Roman" w:cstheme="minorHAnsi"/>
                <w:sz w:val="24"/>
                <w:szCs w:val="24"/>
              </w:rPr>
            </w:pPr>
            <w:r w:rsidRPr="00F1515C">
              <w:rPr>
                <w:rFonts w:eastAsia="Times New Roman" w:cstheme="minorHAnsi"/>
                <w:sz w:val="24"/>
                <w:szCs w:val="24"/>
              </w:rPr>
              <w:t>monitoring and controlling systems</w:t>
            </w:r>
          </w:p>
          <w:p w:rsidR="000E6886" w:rsidRPr="00F1515C" w:rsidRDefault="000E6886" w:rsidP="00F1515C">
            <w:pPr>
              <w:numPr>
                <w:ilvl w:val="0"/>
                <w:numId w:val="1"/>
              </w:numPr>
              <w:spacing w:before="100" w:beforeAutospacing="1" w:after="100" w:afterAutospacing="1"/>
              <w:rPr>
                <w:rFonts w:ascii="Times New Roman" w:eastAsia="Times New Roman" w:hAnsi="Times New Roman" w:cs="Times New Roman"/>
                <w:sz w:val="24"/>
                <w:szCs w:val="24"/>
              </w:rPr>
            </w:pPr>
            <w:r w:rsidRPr="00F1515C">
              <w:rPr>
                <w:rFonts w:eastAsia="Times New Roman" w:cstheme="minorHAnsi"/>
                <w:sz w:val="24"/>
                <w:szCs w:val="24"/>
              </w:rPr>
              <w:t>completion</w:t>
            </w:r>
          </w:p>
          <w:p w:rsidR="000E6886" w:rsidRPr="00F1515C" w:rsidRDefault="000E6886" w:rsidP="00F1515C">
            <w:pPr>
              <w:spacing w:before="100" w:beforeAutospacing="1" w:after="100" w:afterAutospacing="1"/>
              <w:rPr>
                <w:rFonts w:ascii="Times New Roman" w:eastAsia="Times New Roman" w:hAnsi="Times New Roman" w:cs="Times New Roman"/>
                <w:sz w:val="24"/>
                <w:szCs w:val="24"/>
              </w:rPr>
            </w:pPr>
            <w:r w:rsidRPr="00F1515C">
              <w:rPr>
                <w:rFonts w:eastAsia="Times New Roman" w:cstheme="minorHAnsi"/>
                <w:sz w:val="24"/>
                <w:szCs w:val="24"/>
              </w:rPr>
              <w:t>Will discuss the traditional approach as well as the other available approaches, and use a real world example of how to manage a Health IT project from start to finish.</w:t>
            </w:r>
            <w:r>
              <w:rPr>
                <w:rFonts w:eastAsia="Times New Roman" w:cstheme="minorHAnsi"/>
                <w:sz w:val="24"/>
                <w:szCs w:val="24"/>
              </w:rPr>
              <w:t xml:space="preserve">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lastRenderedPageBreak/>
              <w:t>Budgeting – Basics</w:t>
            </w:r>
          </w:p>
        </w:tc>
        <w:tc>
          <w:tcPr>
            <w:tcW w:w="1440" w:type="dxa"/>
          </w:tcPr>
          <w:p w:rsidR="000E6886" w:rsidRPr="008439B2" w:rsidRDefault="000E6886" w:rsidP="00726C42">
            <w:pPr>
              <w:rPr>
                <w:rFonts w:cstheme="minorHAnsi"/>
                <w:sz w:val="24"/>
                <w:szCs w:val="24"/>
              </w:rPr>
            </w:pPr>
            <w:r w:rsidRPr="008439B2">
              <w:rPr>
                <w:rFonts w:cstheme="minorHAnsi"/>
                <w:sz w:val="24"/>
                <w:szCs w:val="24"/>
              </w:rPr>
              <w:t>CI/RMD</w:t>
            </w:r>
          </w:p>
        </w:tc>
        <w:tc>
          <w:tcPr>
            <w:tcW w:w="4590" w:type="dxa"/>
          </w:tcPr>
          <w:p w:rsidR="000E6886" w:rsidRPr="008439B2" w:rsidRDefault="000E6886" w:rsidP="00726C42">
            <w:pPr>
              <w:rPr>
                <w:rFonts w:cstheme="minorHAnsi"/>
                <w:sz w:val="24"/>
                <w:szCs w:val="24"/>
              </w:rPr>
            </w:pPr>
            <w:r w:rsidRPr="008439B2">
              <w:rPr>
                <w:rFonts w:cstheme="minorHAnsi"/>
                <w:sz w:val="24"/>
                <w:szCs w:val="24"/>
              </w:rPr>
              <w:t>Work with CI and possibly RMD personnel to learn the basics of budgeting in the DoD/MHS environment.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Budgeting – Advanced</w:t>
            </w:r>
          </w:p>
        </w:tc>
        <w:tc>
          <w:tcPr>
            <w:tcW w:w="1440" w:type="dxa"/>
          </w:tcPr>
          <w:p w:rsidR="000E6886" w:rsidRPr="008439B2" w:rsidRDefault="000E6886" w:rsidP="00726C42">
            <w:pPr>
              <w:rPr>
                <w:rFonts w:cstheme="minorHAnsi"/>
                <w:sz w:val="24"/>
                <w:szCs w:val="24"/>
              </w:rPr>
            </w:pPr>
            <w:r w:rsidRPr="008439B2">
              <w:rPr>
                <w:rFonts w:cstheme="minorHAnsi"/>
                <w:sz w:val="24"/>
                <w:szCs w:val="24"/>
              </w:rPr>
              <w:t>CI/RMD</w:t>
            </w:r>
          </w:p>
        </w:tc>
        <w:tc>
          <w:tcPr>
            <w:tcW w:w="4590" w:type="dxa"/>
          </w:tcPr>
          <w:p w:rsidR="000E6886" w:rsidRPr="008439B2" w:rsidRDefault="000E6886" w:rsidP="004812EC">
            <w:pPr>
              <w:rPr>
                <w:rFonts w:cstheme="minorHAnsi"/>
                <w:sz w:val="24"/>
                <w:szCs w:val="24"/>
              </w:rPr>
            </w:pPr>
            <w:r w:rsidRPr="008439B2">
              <w:rPr>
                <w:rFonts w:cstheme="minorHAnsi"/>
                <w:sz w:val="24"/>
                <w:szCs w:val="24"/>
              </w:rPr>
              <w:t>Work with CI and possibly RMD personnel to learn the advanced budgeting principles in the DoD/MHS environment, to include both departmental and project budgeting.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DFAR – Overview</w:t>
            </w:r>
          </w:p>
        </w:tc>
        <w:tc>
          <w:tcPr>
            <w:tcW w:w="1440" w:type="dxa"/>
          </w:tcPr>
          <w:p w:rsidR="000E6886" w:rsidRPr="008439B2" w:rsidRDefault="000E6886" w:rsidP="00726C42">
            <w:pPr>
              <w:rPr>
                <w:rFonts w:cstheme="minorHAnsi"/>
                <w:sz w:val="24"/>
                <w:szCs w:val="24"/>
              </w:rPr>
            </w:pPr>
            <w:r w:rsidRPr="008439B2">
              <w:rPr>
                <w:rFonts w:cstheme="minorHAnsi"/>
                <w:sz w:val="24"/>
                <w:szCs w:val="24"/>
              </w:rPr>
              <w:t>CI/RMD</w:t>
            </w:r>
          </w:p>
        </w:tc>
        <w:tc>
          <w:tcPr>
            <w:tcW w:w="4590" w:type="dxa"/>
          </w:tcPr>
          <w:p w:rsidR="000E6886" w:rsidRPr="008439B2" w:rsidRDefault="000E6886" w:rsidP="004812EC">
            <w:pPr>
              <w:rPr>
                <w:rFonts w:cstheme="minorHAnsi"/>
                <w:sz w:val="24"/>
                <w:szCs w:val="24"/>
              </w:rPr>
            </w:pPr>
            <w:r w:rsidRPr="008439B2">
              <w:rPr>
                <w:rFonts w:cstheme="minorHAnsi"/>
                <w:sz w:val="24"/>
                <w:szCs w:val="24"/>
              </w:rPr>
              <w:t>Work with CI and possibly RMD personnel to learn the basics of the DFAR, to include the regulatory and legal components that could cause problems when trying to perform the CMIO role. ***</w:t>
            </w:r>
          </w:p>
        </w:tc>
      </w:tr>
      <w:tr w:rsidR="000E6886" w:rsidRPr="008439B2" w:rsidTr="000E6886">
        <w:tc>
          <w:tcPr>
            <w:tcW w:w="3348" w:type="dxa"/>
          </w:tcPr>
          <w:p w:rsidR="000E6886" w:rsidRPr="008439B2" w:rsidRDefault="000E6886" w:rsidP="00726C42">
            <w:pPr>
              <w:rPr>
                <w:rFonts w:cstheme="minorHAnsi"/>
                <w:sz w:val="24"/>
                <w:szCs w:val="24"/>
              </w:rPr>
            </w:pPr>
            <w:r w:rsidRPr="008439B2">
              <w:rPr>
                <w:rFonts w:cstheme="minorHAnsi"/>
                <w:sz w:val="24"/>
                <w:szCs w:val="24"/>
              </w:rPr>
              <w:t>Governance/Portfolio Management - Basics</w:t>
            </w:r>
          </w:p>
        </w:tc>
        <w:tc>
          <w:tcPr>
            <w:tcW w:w="1440" w:type="dxa"/>
          </w:tcPr>
          <w:p w:rsidR="000E6886" w:rsidRPr="008439B2" w:rsidRDefault="000E6886" w:rsidP="00726C42">
            <w:pPr>
              <w:rPr>
                <w:rFonts w:cstheme="minorHAnsi"/>
                <w:sz w:val="24"/>
                <w:szCs w:val="24"/>
              </w:rPr>
            </w:pPr>
            <w:r w:rsidRPr="008439B2">
              <w:rPr>
                <w:rFonts w:cstheme="minorHAnsi"/>
                <w:sz w:val="24"/>
                <w:szCs w:val="24"/>
              </w:rPr>
              <w:t>IMD/CI</w:t>
            </w:r>
          </w:p>
        </w:tc>
        <w:tc>
          <w:tcPr>
            <w:tcW w:w="4590" w:type="dxa"/>
          </w:tcPr>
          <w:p w:rsidR="000E6886" w:rsidRPr="008439B2" w:rsidRDefault="000E6886" w:rsidP="00726C42">
            <w:pPr>
              <w:rPr>
                <w:rFonts w:cstheme="minorHAnsi"/>
                <w:sz w:val="24"/>
                <w:szCs w:val="24"/>
              </w:rPr>
            </w:pPr>
            <w:r w:rsidRPr="008439B2">
              <w:rPr>
                <w:rFonts w:cstheme="minorHAnsi"/>
                <w:sz w:val="24"/>
                <w:szCs w:val="24"/>
              </w:rPr>
              <w:t xml:space="preserve">Work with CI and IMD personnel to understand the basics of portfolio management and governance for hardware, software and development capabilities. </w:t>
            </w:r>
          </w:p>
        </w:tc>
      </w:tr>
    </w:tbl>
    <w:p w:rsidR="00C43E29" w:rsidRPr="008439B2" w:rsidRDefault="00C43E29">
      <w:pPr>
        <w:rPr>
          <w:rFonts w:cstheme="minorHAnsi"/>
          <w:sz w:val="24"/>
          <w:szCs w:val="24"/>
        </w:rPr>
      </w:pPr>
    </w:p>
    <w:sectPr w:rsidR="00C43E29" w:rsidRPr="008439B2" w:rsidSect="00684E95">
      <w:pgSz w:w="12240" w:h="15840"/>
      <w:pgMar w:top="1152" w:right="72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E5BDE"/>
    <w:multiLevelType w:val="multilevel"/>
    <w:tmpl w:val="283A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43E29"/>
    <w:rsid w:val="00031E6B"/>
    <w:rsid w:val="00042DC5"/>
    <w:rsid w:val="00052340"/>
    <w:rsid w:val="0006477C"/>
    <w:rsid w:val="000A30B2"/>
    <w:rsid w:val="000E6886"/>
    <w:rsid w:val="000F3F52"/>
    <w:rsid w:val="00100091"/>
    <w:rsid w:val="00116B90"/>
    <w:rsid w:val="00147DEE"/>
    <w:rsid w:val="00193DC4"/>
    <w:rsid w:val="001D37EC"/>
    <w:rsid w:val="001F0069"/>
    <w:rsid w:val="00206E82"/>
    <w:rsid w:val="00214428"/>
    <w:rsid w:val="002427A3"/>
    <w:rsid w:val="00271E52"/>
    <w:rsid w:val="00282A64"/>
    <w:rsid w:val="0031302D"/>
    <w:rsid w:val="00321FBC"/>
    <w:rsid w:val="00336847"/>
    <w:rsid w:val="00347D9E"/>
    <w:rsid w:val="003A08AE"/>
    <w:rsid w:val="003A2B18"/>
    <w:rsid w:val="003A6EB6"/>
    <w:rsid w:val="003B7FB3"/>
    <w:rsid w:val="003E0DB9"/>
    <w:rsid w:val="003F7A96"/>
    <w:rsid w:val="00414493"/>
    <w:rsid w:val="004201DC"/>
    <w:rsid w:val="00420330"/>
    <w:rsid w:val="00426F5A"/>
    <w:rsid w:val="004425E0"/>
    <w:rsid w:val="00442BE2"/>
    <w:rsid w:val="004812EC"/>
    <w:rsid w:val="004A59CC"/>
    <w:rsid w:val="004B1163"/>
    <w:rsid w:val="004E26FE"/>
    <w:rsid w:val="004F10B8"/>
    <w:rsid w:val="00517F3E"/>
    <w:rsid w:val="00590B36"/>
    <w:rsid w:val="005E0A45"/>
    <w:rsid w:val="005E0E8F"/>
    <w:rsid w:val="005F7B36"/>
    <w:rsid w:val="00611868"/>
    <w:rsid w:val="00614963"/>
    <w:rsid w:val="006300DF"/>
    <w:rsid w:val="00684E95"/>
    <w:rsid w:val="006A4003"/>
    <w:rsid w:val="006A428A"/>
    <w:rsid w:val="006D0D25"/>
    <w:rsid w:val="0070236C"/>
    <w:rsid w:val="00723AA8"/>
    <w:rsid w:val="0072709C"/>
    <w:rsid w:val="00743394"/>
    <w:rsid w:val="00747195"/>
    <w:rsid w:val="0075336F"/>
    <w:rsid w:val="0076212B"/>
    <w:rsid w:val="007807CE"/>
    <w:rsid w:val="008332E0"/>
    <w:rsid w:val="008439B2"/>
    <w:rsid w:val="008605D4"/>
    <w:rsid w:val="008868D6"/>
    <w:rsid w:val="008A0DC5"/>
    <w:rsid w:val="008A34F4"/>
    <w:rsid w:val="008B7439"/>
    <w:rsid w:val="008C580A"/>
    <w:rsid w:val="008F27E3"/>
    <w:rsid w:val="0092444C"/>
    <w:rsid w:val="00974959"/>
    <w:rsid w:val="00992CA2"/>
    <w:rsid w:val="009A330C"/>
    <w:rsid w:val="009A45C1"/>
    <w:rsid w:val="009A55D0"/>
    <w:rsid w:val="009B1E4B"/>
    <w:rsid w:val="009E0E8C"/>
    <w:rsid w:val="009E3F6D"/>
    <w:rsid w:val="009E723E"/>
    <w:rsid w:val="009E7898"/>
    <w:rsid w:val="009F1AE1"/>
    <w:rsid w:val="00A1670C"/>
    <w:rsid w:val="00A278C2"/>
    <w:rsid w:val="00A35BBD"/>
    <w:rsid w:val="00A82BEF"/>
    <w:rsid w:val="00A964EF"/>
    <w:rsid w:val="00A96F4B"/>
    <w:rsid w:val="00A971F7"/>
    <w:rsid w:val="00AA4134"/>
    <w:rsid w:val="00AA6EEE"/>
    <w:rsid w:val="00B713BB"/>
    <w:rsid w:val="00B7538D"/>
    <w:rsid w:val="00BF3745"/>
    <w:rsid w:val="00C052DE"/>
    <w:rsid w:val="00C17567"/>
    <w:rsid w:val="00C43940"/>
    <w:rsid w:val="00C43E29"/>
    <w:rsid w:val="00CA3F1A"/>
    <w:rsid w:val="00CD50DF"/>
    <w:rsid w:val="00D123EE"/>
    <w:rsid w:val="00D25CFC"/>
    <w:rsid w:val="00D34E63"/>
    <w:rsid w:val="00DD0B5C"/>
    <w:rsid w:val="00E10A0D"/>
    <w:rsid w:val="00E30587"/>
    <w:rsid w:val="00E33312"/>
    <w:rsid w:val="00E47134"/>
    <w:rsid w:val="00E95997"/>
    <w:rsid w:val="00EA6048"/>
    <w:rsid w:val="00EC6FF6"/>
    <w:rsid w:val="00ED0B06"/>
    <w:rsid w:val="00F1515C"/>
    <w:rsid w:val="00F754A2"/>
    <w:rsid w:val="00F83F2F"/>
    <w:rsid w:val="00F90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68"/>
    <w:rPr>
      <w:rFonts w:ascii="Tahoma" w:hAnsi="Tahoma" w:cs="Tahoma"/>
      <w:sz w:val="16"/>
      <w:szCs w:val="16"/>
    </w:rPr>
  </w:style>
  <w:style w:type="character" w:styleId="Hyperlink">
    <w:name w:val="Hyperlink"/>
    <w:basedOn w:val="DefaultParagraphFont"/>
    <w:uiPriority w:val="99"/>
    <w:semiHidden/>
    <w:unhideWhenUsed/>
    <w:rsid w:val="008439B2"/>
    <w:rPr>
      <w:color w:val="0000FF"/>
      <w:u w:val="single"/>
    </w:rPr>
  </w:style>
  <w:style w:type="paragraph" w:styleId="NormalWeb">
    <w:name w:val="Normal (Web)"/>
    <w:basedOn w:val="Normal"/>
    <w:uiPriority w:val="99"/>
    <w:unhideWhenUsed/>
    <w:rsid w:val="008439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489774">
      <w:bodyDiv w:val="1"/>
      <w:marLeft w:val="0"/>
      <w:marRight w:val="0"/>
      <w:marTop w:val="0"/>
      <w:marBottom w:val="0"/>
      <w:divBdr>
        <w:top w:val="none" w:sz="0" w:space="0" w:color="auto"/>
        <w:left w:val="none" w:sz="0" w:space="0" w:color="auto"/>
        <w:bottom w:val="none" w:sz="0" w:space="0" w:color="auto"/>
        <w:right w:val="none" w:sz="0" w:space="0" w:color="auto"/>
      </w:divBdr>
      <w:divsChild>
        <w:div w:id="1913082664">
          <w:marLeft w:val="0"/>
          <w:marRight w:val="0"/>
          <w:marTop w:val="0"/>
          <w:marBottom w:val="0"/>
          <w:divBdr>
            <w:top w:val="none" w:sz="0" w:space="0" w:color="auto"/>
            <w:left w:val="none" w:sz="0" w:space="0" w:color="auto"/>
            <w:bottom w:val="none" w:sz="0" w:space="0" w:color="auto"/>
            <w:right w:val="none" w:sz="0" w:space="0" w:color="auto"/>
          </w:divBdr>
          <w:divsChild>
            <w:div w:id="1858764348">
              <w:marLeft w:val="0"/>
              <w:marRight w:val="0"/>
              <w:marTop w:val="0"/>
              <w:marBottom w:val="0"/>
              <w:divBdr>
                <w:top w:val="none" w:sz="0" w:space="0" w:color="auto"/>
                <w:left w:val="none" w:sz="0" w:space="0" w:color="auto"/>
                <w:bottom w:val="none" w:sz="0" w:space="0" w:color="auto"/>
                <w:right w:val="none" w:sz="0" w:space="0" w:color="auto"/>
              </w:divBdr>
              <w:divsChild>
                <w:div w:id="21349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2298">
      <w:bodyDiv w:val="1"/>
      <w:marLeft w:val="0"/>
      <w:marRight w:val="0"/>
      <w:marTop w:val="0"/>
      <w:marBottom w:val="0"/>
      <w:divBdr>
        <w:top w:val="none" w:sz="0" w:space="0" w:color="auto"/>
        <w:left w:val="none" w:sz="0" w:space="0" w:color="auto"/>
        <w:bottom w:val="none" w:sz="0" w:space="0" w:color="auto"/>
        <w:right w:val="none" w:sz="0" w:space="0" w:color="auto"/>
      </w:divBdr>
      <w:divsChild>
        <w:div w:id="2113472792">
          <w:marLeft w:val="0"/>
          <w:marRight w:val="0"/>
          <w:marTop w:val="0"/>
          <w:marBottom w:val="0"/>
          <w:divBdr>
            <w:top w:val="none" w:sz="0" w:space="0" w:color="auto"/>
            <w:left w:val="none" w:sz="0" w:space="0" w:color="auto"/>
            <w:bottom w:val="none" w:sz="0" w:space="0" w:color="auto"/>
            <w:right w:val="none" w:sz="0" w:space="0" w:color="auto"/>
          </w:divBdr>
          <w:divsChild>
            <w:div w:id="1430078489">
              <w:marLeft w:val="0"/>
              <w:marRight w:val="0"/>
              <w:marTop w:val="0"/>
              <w:marBottom w:val="0"/>
              <w:divBdr>
                <w:top w:val="none" w:sz="0" w:space="0" w:color="auto"/>
                <w:left w:val="none" w:sz="0" w:space="0" w:color="auto"/>
                <w:bottom w:val="none" w:sz="0" w:space="0" w:color="auto"/>
                <w:right w:val="none" w:sz="0" w:space="0" w:color="auto"/>
              </w:divBdr>
              <w:divsChild>
                <w:div w:id="3761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Project_plan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6</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Marshall</dc:creator>
  <cp:lastModifiedBy>Dr. Bob Marshall</cp:lastModifiedBy>
  <cp:revision>23</cp:revision>
  <dcterms:created xsi:type="dcterms:W3CDTF">2013-06-11T21:44:00Z</dcterms:created>
  <dcterms:modified xsi:type="dcterms:W3CDTF">2013-07-01T15:20:00Z</dcterms:modified>
</cp:coreProperties>
</file>